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spacing w:before="0" w:after="120"/>
        <w:jc w:val="center"/>
        <w:rPr>
          <w:rFonts w:eastAsia="Calibri"/>
          <w:b/>
        </w:rPr>
      </w:pPr>
      <w:r>
        <w:rPr>
          <w:rFonts w:eastAsia="Calibri"/>
          <w:b/>
        </w:rPr>
        <w:t>Требования к Участникам закупки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851" w:leader="none"/>
        </w:tabs>
        <w:spacing w:before="60" w:after="120"/>
        <w:ind w:left="0" w:firstLine="567"/>
        <w:contextualSpacing/>
        <w:jc w:val="both"/>
        <w:rPr>
          <w:b/>
          <w:bCs/>
        </w:rPr>
      </w:pPr>
      <w:r>
        <w:rPr>
          <w:b/>
          <w:bCs/>
        </w:rPr>
        <w:t>Квалификационные требования</w:t>
      </w:r>
    </w:p>
    <w:p>
      <w:pPr>
        <w:pStyle w:val="Normal"/>
        <w:keepNext w:val="true"/>
        <w:spacing w:before="60" w:after="12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Таблица 1. Перечень квалификационных требований</w:t>
      </w:r>
    </w:p>
    <w:tbl>
      <w:tblPr>
        <w:tblW w:w="14884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34"/>
        <w:gridCol w:w="7829"/>
        <w:gridCol w:w="6521"/>
      </w:tblGrid>
      <w:tr>
        <w:trPr>
          <w:trHeight w:val="892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i/>
                <w:i/>
                <w:iCs/>
                <w:sz w:val="22"/>
                <w:szCs w:val="22"/>
                <w:shd w:fill="FFFF99" w:val="clear"/>
              </w:rPr>
            </w:pPr>
            <w:r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наличию опыта: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Участник должен иметь опыт поставки </w:t>
            </w:r>
            <w:r>
              <w:rPr>
                <w:rFonts w:cs="Times New Roman (???????? ?????"/>
                <w:color w:val="000000"/>
                <w:sz w:val="22"/>
                <w:szCs w:val="22"/>
                <w:shd w:fill="FFFFFF" w:val="clear"/>
                <w:lang w:eastAsia="en-US"/>
              </w:rPr>
              <w:t>оборудования ОРУ 35-110 кВ</w:t>
            </w:r>
            <w:r>
              <w:rPr>
                <w:sz w:val="22"/>
                <w:szCs w:val="24"/>
              </w:rPr>
              <w:t>, при этом за последние 3 года, предшествующие дате подачи заявки на участие в конкурентной закупке, Участником должны быть исполнены обязательства (осуществлена поставка) в общем/совокупном объеме не менее 30% от начальной (максимальной) цены договора (лота), указанной в Извещении.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iCs/>
                <w:sz w:val="22"/>
                <w:szCs w:val="22"/>
                <w:shd w:fill="FFFF99" w:val="clear"/>
              </w:rPr>
            </w:pPr>
            <w:r>
              <w:rPr>
                <w:iCs/>
                <w:sz w:val="22"/>
                <w:szCs w:val="22"/>
                <w:shd w:fill="FFFF99" w:val="clear"/>
              </w:rPr>
            </w:r>
            <w:bookmarkStart w:id="0" w:name="_GoBack"/>
            <w:bookmarkStart w:id="1" w:name="_GoBack"/>
            <w:bookmarkEnd w:id="1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hd w:val="clear" w:color="auto" w:fill="FFFFFF"/>
              <w:spacing w:before="60" w:after="60"/>
              <w:ind w:right="137" w:hang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Для оценки Участника по неценовому критерию «Опыт поставки», в составе заявки Участнику рекомендуется предоставить сведения о ранее выполненных договорах по форме «Справка об опыте Участника», приведенной в Документации о закупке (форма 7), с обязательным предоставлением подтверждающих наличие требуемого опыта документов, а именно: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60" w:after="60"/>
              <w:ind w:left="413" w:right="137" w:hanging="283"/>
              <w:jc w:val="both"/>
              <w:rPr>
                <w:rFonts w:cs="Times New Roman (???????? ?????"/>
                <w:color w:val="000000"/>
                <w:sz w:val="22"/>
                <w:szCs w:val="22"/>
                <w:lang w:eastAsia="en-US"/>
              </w:rPr>
            </w:pPr>
            <w:r>
              <w:rPr>
                <w:rFonts w:cs="Times New Roman (???????? ?????"/>
                <w:color w:val="000000"/>
                <w:sz w:val="22"/>
                <w:szCs w:val="22"/>
                <w:lang w:eastAsia="en-US"/>
              </w:rPr>
              <w:t>копии договоров, подписанных с обеих сторон;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60" w:after="60"/>
              <w:ind w:left="413" w:right="137" w:hanging="283"/>
              <w:jc w:val="both"/>
              <w:rPr>
                <w:rFonts w:cs="Times New Roman (???????? ?????"/>
                <w:color w:val="000000"/>
                <w:sz w:val="22"/>
                <w:szCs w:val="22"/>
                <w:lang w:eastAsia="en-US"/>
              </w:rPr>
            </w:pPr>
            <w:r>
              <w:rPr>
                <w:rFonts w:cs="Times New Roman (???????? ?????"/>
                <w:color w:val="000000"/>
                <w:sz w:val="22"/>
                <w:szCs w:val="22"/>
                <w:lang w:eastAsia="en-US"/>
              </w:rPr>
              <w:t>копии товарных накладных по форме ТОРГ-12 или УПД (Универсальный передаточный документ), подписанных с обеих сторон, свидетельствующих о выполнении поставок в рамках каждого предоставленного в виде копии договора.</w:t>
            </w:r>
          </w:p>
          <w:p>
            <w:pPr>
              <w:pStyle w:val="Normal"/>
              <w:widowControl w:val="false"/>
              <w:spacing w:before="60" w:after="60"/>
              <w:ind w:left="413" w:right="137" w:hanging="0"/>
              <w:jc w:val="both"/>
              <w:rPr>
                <w:rFonts w:cs="Times New Roman (???????? ?????"/>
                <w:color w:val="000000"/>
                <w:sz w:val="22"/>
                <w:szCs w:val="22"/>
                <w:lang w:eastAsia="en-US"/>
              </w:rPr>
            </w:pPr>
            <w:r>
              <w:rPr>
                <w:rFonts w:cs="Times New Roman (???????? ?????"/>
                <w:color w:val="000000"/>
                <w:sz w:val="22"/>
                <w:szCs w:val="22"/>
                <w:lang w:eastAsia="en-US"/>
              </w:rPr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rFonts w:cs="Times New Roman (???????? ?????"/>
                <w:color w:val="000000"/>
                <w:sz w:val="22"/>
                <w:szCs w:val="22"/>
                <w:lang w:eastAsia="en-US"/>
              </w:rPr>
            </w:pPr>
            <w:r>
              <w:rPr>
                <w:rFonts w:cs="Times New Roman (???????? ?????"/>
                <w:color w:val="000000"/>
                <w:sz w:val="22"/>
                <w:szCs w:val="22"/>
                <w:lang w:eastAsia="en-US"/>
              </w:rPr>
              <w:t>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Участника.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Опыт, несоответствующий установленным в документации о закупке требованиям, не оценивается.</w:t>
            </w:r>
          </w:p>
          <w:p>
            <w:pPr>
              <w:pStyle w:val="Normal"/>
              <w:widowControl w:val="false"/>
              <w:spacing w:before="0" w:after="60"/>
              <w:ind w:left="28" w:hanging="0"/>
              <w:jc w:val="both"/>
              <w:rPr>
                <w:iCs/>
                <w:sz w:val="22"/>
                <w:szCs w:val="22"/>
                <w:shd w:fill="FFFF99" w:val="clear"/>
              </w:rPr>
            </w:pPr>
            <w:r>
              <w:rPr>
                <w:color w:val="000000"/>
                <w:sz w:val="22"/>
                <w:szCs w:val="22"/>
              </w:rPr>
              <w:t>Неисполнение требований данного пункта не является основанием для отклонения заявки Участника.</w:t>
            </w:r>
          </w:p>
        </w:tc>
      </w:tr>
      <w:tr>
        <w:trPr>
          <w:trHeight w:val="6226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Отношение Участника закупки к производителю предлагаемой продукции, а именно один из следующих статусов: </w:t>
            </w:r>
          </w:p>
          <w:tbl>
            <w:tblPr>
              <w:tblW w:w="7293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872"/>
              <w:gridCol w:w="6420"/>
            </w:tblGrid>
            <w:tr>
              <w:trPr>
                <w:trHeight w:val="309" w:hRule="atLeast"/>
                <w:cantSplit w:val="true"/>
              </w:trPr>
              <w:tc>
                <w:tcPr>
                  <w:tcW w:w="87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napToGrid w:val="false"/>
                    <w:spacing w:before="40" w:after="4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numPr>
                      <w:ilvl w:val="0"/>
                      <w:numId w:val="0"/>
                    </w:numPr>
                    <w:snapToGrid w:val="false"/>
                    <w:spacing w:before="40" w:after="40"/>
                    <w:ind w:left="0" w:hanging="0"/>
                    <w:jc w:val="both"/>
                    <w:outlineLvl w:val="4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  <w:t>1. Участник не является изготовителем (производителем) и/или аффилированным изготовителю (производителю) по одному из пунктов, указанных в Таблице - Признаки аффилированности и документы, подтверждающие данные признаки (форма №10 Документации о закупке), и/или представителем изготовителя (производителя).</w:t>
                  </w:r>
                </w:p>
                <w:p>
                  <w:pPr>
                    <w:pStyle w:val="Normal"/>
                    <w:widowControl w:val="false"/>
                    <w:numPr>
                      <w:ilvl w:val="0"/>
                      <w:numId w:val="0"/>
                    </w:numPr>
                    <w:snapToGrid w:val="false"/>
                    <w:spacing w:before="40" w:after="40"/>
                    <w:ind w:left="0" w:hanging="0"/>
                    <w:jc w:val="both"/>
                    <w:outlineLvl w:val="4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</w:r>
                </w:p>
                <w:p>
                  <w:pPr>
                    <w:pStyle w:val="Normal"/>
                    <w:widowControl w:val="false"/>
                    <w:numPr>
                      <w:ilvl w:val="0"/>
                      <w:numId w:val="0"/>
                    </w:numPr>
                    <w:snapToGrid w:val="false"/>
                    <w:spacing w:before="40" w:after="40"/>
                    <w:ind w:left="0" w:hanging="0"/>
                    <w:jc w:val="both"/>
                    <w:outlineLvl w:val="4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  <w:t>2. В случае непредставления документов, подтверждающих статус Участника.</w:t>
                  </w:r>
                </w:p>
              </w:tc>
            </w:tr>
            <w:tr>
              <w:trPr>
                <w:trHeight w:val="485" w:hRule="atLeast"/>
                <w:cantSplit w:val="true"/>
              </w:trPr>
              <w:tc>
                <w:tcPr>
                  <w:tcW w:w="87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napToGrid w:val="false"/>
                    <w:spacing w:before="40" w:after="4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6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numPr>
                      <w:ilvl w:val="0"/>
                      <w:numId w:val="0"/>
                    </w:numPr>
                    <w:snapToGrid w:val="false"/>
                    <w:spacing w:before="40" w:after="40"/>
                    <w:ind w:left="0" w:hanging="0"/>
                    <w:outlineLvl w:val="4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  <w:t>Участник является представителем изготовителя (производителя)</w:t>
                  </w:r>
                </w:p>
              </w:tc>
            </w:tr>
            <w:tr>
              <w:trPr>
                <w:trHeight w:val="691" w:hRule="atLeast"/>
                <w:cantSplit w:val="true"/>
              </w:trPr>
              <w:tc>
                <w:tcPr>
                  <w:tcW w:w="87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napToGrid w:val="false"/>
                    <w:spacing w:before="40" w:after="4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6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numPr>
                      <w:ilvl w:val="0"/>
                      <w:numId w:val="0"/>
                    </w:numPr>
                    <w:snapToGrid w:val="false"/>
                    <w:spacing w:before="40" w:after="40"/>
                    <w:ind w:left="0" w:hanging="0"/>
                    <w:jc w:val="both"/>
                    <w:outlineLvl w:val="4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  <w:t>Участник является официальным представителем изготовителя (производителя)</w:t>
                  </w:r>
                </w:p>
              </w:tc>
            </w:tr>
            <w:tr>
              <w:trPr>
                <w:trHeight w:val="1551" w:hRule="atLeast"/>
                <w:cantSplit w:val="true"/>
              </w:trPr>
              <w:tc>
                <w:tcPr>
                  <w:tcW w:w="87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napToGrid w:val="false"/>
                    <w:spacing w:before="40" w:after="4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6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numPr>
                      <w:ilvl w:val="0"/>
                      <w:numId w:val="0"/>
                    </w:numPr>
                    <w:snapToGrid w:val="false"/>
                    <w:spacing w:before="40" w:after="40"/>
                    <w:ind w:left="0" w:hanging="0"/>
                    <w:jc w:val="both"/>
                    <w:outlineLvl w:val="4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  <w:t>Участник является аффилированным изготовителю (производителю) по одному из следующих пунктов 7, 9, указанных в Таблице - Признаки аффилированности и документы, подтверждающие данные признаки (форма №10 Документации о закупке).</w:t>
                  </w:r>
                </w:p>
              </w:tc>
            </w:tr>
            <w:tr>
              <w:trPr>
                <w:trHeight w:val="1404" w:hRule="atLeast"/>
                <w:cantSplit w:val="true"/>
              </w:trPr>
              <w:tc>
                <w:tcPr>
                  <w:tcW w:w="87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napToGrid w:val="false"/>
                    <w:spacing w:before="40" w:after="4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6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numPr>
                      <w:ilvl w:val="0"/>
                      <w:numId w:val="0"/>
                    </w:numPr>
                    <w:snapToGrid w:val="false"/>
                    <w:spacing w:before="40" w:after="40"/>
                    <w:ind w:left="0" w:hanging="0"/>
                    <w:jc w:val="both"/>
                    <w:outlineLvl w:val="4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  <w:t>Участник является аффилированным изготовителю (производителю) по одному из следующих пунктов 4, 5, 8, 10, указанных в Таблице - Признаки аффилированности и документы, подтверждающие данные признаки (форма №10 Документации о закупке).</w:t>
                  </w:r>
                </w:p>
              </w:tc>
            </w:tr>
            <w:tr>
              <w:trPr>
                <w:trHeight w:val="309" w:hRule="atLeast"/>
                <w:cantSplit w:val="true"/>
              </w:trPr>
              <w:tc>
                <w:tcPr>
                  <w:tcW w:w="87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snapToGrid w:val="false"/>
                    <w:spacing w:before="40" w:after="4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6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FFFFFF" w:themeFill="background1" w:val="clear"/>
                </w:tcPr>
                <w:p>
                  <w:pPr>
                    <w:pStyle w:val="Normal"/>
                    <w:widowControl w:val="false"/>
                    <w:numPr>
                      <w:ilvl w:val="0"/>
                      <w:numId w:val="0"/>
                    </w:numPr>
                    <w:snapToGrid w:val="false"/>
                    <w:spacing w:before="40" w:after="40"/>
                    <w:ind w:left="0" w:hanging="0"/>
                    <w:jc w:val="both"/>
                    <w:outlineLvl w:val="4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  <w:t>1. Участник является изготовителем (производителем)</w:t>
                  </w:r>
                </w:p>
                <w:p>
                  <w:pPr>
                    <w:pStyle w:val="Normal"/>
                    <w:widowControl w:val="false"/>
                    <w:numPr>
                      <w:ilvl w:val="0"/>
                      <w:numId w:val="0"/>
                    </w:numPr>
                    <w:snapToGrid w:val="false"/>
                    <w:spacing w:before="40" w:after="40"/>
                    <w:ind w:left="0" w:hanging="0"/>
                    <w:jc w:val="both"/>
                    <w:outlineLvl w:val="4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</w:r>
                </w:p>
                <w:p>
                  <w:pPr>
                    <w:pStyle w:val="Normal"/>
                    <w:widowControl w:val="false"/>
                    <w:numPr>
                      <w:ilvl w:val="0"/>
                      <w:numId w:val="0"/>
                    </w:numPr>
                    <w:snapToGrid w:val="false"/>
                    <w:spacing w:before="40" w:after="40"/>
                    <w:ind w:left="0" w:hanging="0"/>
                    <w:jc w:val="both"/>
                    <w:outlineLvl w:val="4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2"/>
                      <w:szCs w:val="22"/>
                    </w:rPr>
                    <w:t>2. Участник является аффилированным изготовителю (производителю) по одному из следующих пунктов 1, 2, 3, 6, 11, указанных в Таблице - Признаки аффилированности и документы, подтверждающие данные признаки (форма №10 Документации о закупке).</w:t>
                  </w:r>
                </w:p>
              </w:tc>
            </w:tr>
          </w:tbl>
          <w:p>
            <w:pPr>
              <w:pStyle w:val="Style32"/>
              <w:widowControl w:val="false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hd w:val="clear" w:color="auto" w:fill="FFFFFF"/>
              <w:spacing w:before="60" w:after="60"/>
              <w:ind w:right="137" w:hang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Для оценки Участника по неценовому критерию «Отношение Участника закупки к производителю предлагаемой продукции», Участнику рекомендуется представить сведения по Форме «Анкета Участника», приведенной в Документации о закупке (форма 6), с обязательным предоставлением подтверждающих документов, указанных в приложение № 6 «Порядок и критерии оценки и сопоставления заявок» приведенного в Документации о закупке. </w:t>
            </w:r>
          </w:p>
          <w:p>
            <w:pPr>
              <w:pStyle w:val="Normal"/>
              <w:keepNext w:val="true"/>
              <w:widowControl w:val="false"/>
              <w:shd w:val="clear" w:color="auto" w:fill="FFFFFF"/>
              <w:spacing w:before="60" w:after="60"/>
              <w:ind w:right="137" w:hang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Неисполнение требований данного пункта не является основанием для отклонения заявки Участника.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rPr>
          <w:i/>
          <w:i/>
          <w:iCs/>
          <w:sz w:val="26"/>
          <w:szCs w:val="26"/>
          <w:shd w:fill="FFFF99" w:val="clear"/>
        </w:rPr>
      </w:pPr>
      <w:r>
        <w:rPr/>
      </w:r>
    </w:p>
    <w:sectPr>
      <w:headerReference w:type="even" r:id="rId2"/>
      <w:headerReference w:type="default" r:id="rId3"/>
      <w:footerReference w:type="first" r:id="rId4"/>
      <w:type w:val="nextPage"/>
      <w:pgSz w:orient="landscape" w:w="16838" w:h="11906"/>
      <w:pgMar w:left="992" w:right="568" w:gutter="0" w:header="680" w:top="1134" w:footer="737" w:bottom="851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152588924"/>
    </w:sdtPr>
    <w:sdtContent>
      <w:p>
        <w:pPr>
          <w:pStyle w:val="Footer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1</w:t>
        </w:r>
        <w:r>
          <w:rPr>
            <w:sz w:val="24"/>
            <w:szCs w:val="24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014f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next w:val="Normal"/>
    <w:link w:val="4"/>
    <w:qFormat/>
    <w:rsid w:val="006629c9"/>
    <w:pPr>
      <w:numPr>
        <w:ilvl w:val="1"/>
      </w:num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qFormat/>
    <w:rsid w:val="00d561d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semiHidden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4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1"/>
    <w:qFormat/>
    <w:locked/>
    <w:rsid w:val="00d22f6d"/>
    <w:rPr>
      <w:sz w:val="28"/>
    </w:rPr>
  </w:style>
  <w:style w:type="character" w:styleId="Style5" w:customStyle="1">
    <w:name w:val="Текст сноски Знак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29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5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uiPriority w:val="99"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8"/>
    <w:qFormat/>
    <w:rsid w:val="004a17ae"/>
    <w:rPr>
      <w:rFonts w:eastAsia="Calibri"/>
      <w:caps/>
      <w:sz w:val="28"/>
      <w:szCs w:val="28"/>
      <w:lang w:eastAsia="en-US"/>
    </w:rPr>
  </w:style>
  <w:style w:type="character" w:styleId="Style14" w:customStyle="1">
    <w:name w:val="Нижний колонтитул Знак"/>
    <w:basedOn w:val="DefaultParagraphFont"/>
    <w:uiPriority w:val="99"/>
    <w:qFormat/>
    <w:rsid w:val="002e457f"/>
    <w:rPr>
      <w:sz w:val="28"/>
      <w:szCs w:val="28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 Unicode MS"/>
    </w:rPr>
  </w:style>
  <w:style w:type="paragraph" w:styleId="Style17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8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rsid w:val="00d561d9"/>
    <w:pPr/>
    <w:rPr>
      <w:sz w:val="20"/>
      <w:szCs w:val="20"/>
    </w:rPr>
  </w:style>
  <w:style w:type="paragraph" w:styleId="13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4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14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246ad8"/>
    <w:pPr>
      <w:tabs>
        <w:tab w:val="clear" w:pos="708"/>
        <w:tab w:val="left" w:pos="851" w:leader="none"/>
        <w:tab w:val="right" w:pos="9911" w:leader="dot"/>
      </w:tabs>
      <w:spacing w:before="120" w:after="0"/>
      <w:ind w:left="426" w:hanging="426"/>
    </w:pPr>
    <w:rPr>
      <w:sz w:val="24"/>
    </w:rPr>
  </w:style>
  <w:style w:type="paragraph" w:styleId="TOC3">
    <w:name w:val="TOC 3"/>
    <w:basedOn w:val="Normal"/>
    <w:next w:val="Normal"/>
    <w:autoRedefine/>
    <w:uiPriority w:val="39"/>
    <w:rsid w:val="00b42701"/>
    <w:pPr>
      <w:ind w:left="560" w:hanging="0"/>
    </w:pPr>
    <w:rPr>
      <w:sz w:val="24"/>
    </w:rPr>
  </w:style>
  <w:style w:type="paragraph" w:styleId="Style22" w:customStyle="1">
    <w:name w:val="Раздел регламента"/>
    <w:basedOn w:val="Normal"/>
    <w:qFormat/>
    <w:rsid w:val="00e228fa"/>
    <w:pPr/>
    <w:rPr/>
  </w:style>
  <w:style w:type="paragraph" w:styleId="Style23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246ad8"/>
    <w:pPr>
      <w:tabs>
        <w:tab w:val="clear" w:pos="708"/>
        <w:tab w:val="left" w:pos="993" w:leader="none"/>
        <w:tab w:val="right" w:pos="9911" w:leader="dot"/>
      </w:tabs>
      <w:spacing w:before="120" w:after="0"/>
      <w:ind w:firstLine="567"/>
    </w:pPr>
    <w:rPr>
      <w:sz w:val="24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uiPriority w:val="99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5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2240" w:hanging="0"/>
    </w:pPr>
    <w:rPr/>
  </w:style>
  <w:style w:type="paragraph" w:styleId="TOC5">
    <w:name w:val="TOC 5"/>
    <w:basedOn w:val="Normal"/>
    <w:next w:val="Normal"/>
    <w:autoRedefine/>
    <w:semiHidden/>
    <w:rsid w:val="00f57628"/>
    <w:pPr>
      <w:ind w:left="1120" w:hanging="0"/>
    </w:pPr>
    <w:rPr/>
  </w:style>
  <w:style w:type="paragraph" w:styleId="TOC4">
    <w:name w:val="TOC 4"/>
    <w:basedOn w:val="Normal"/>
    <w:next w:val="Normal"/>
    <w:autoRedefine/>
    <w:uiPriority w:val="39"/>
    <w:rsid w:val="00f57628"/>
    <w:pPr>
      <w:ind w:left="840" w:hanging="0"/>
    </w:pPr>
    <w:rPr/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</w:rPr>
  </w:style>
  <w:style w:type="paragraph" w:styleId="Style25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6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28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9" w:customStyle="1">
    <w:name w:val="Подподпункт"/>
    <w:basedOn w:val="Style21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</w:rPr>
  </w:style>
  <w:style w:type="paragraph" w:styleId="Style30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7" w:customStyle="1">
    <w:name w:val="Стиль Заголовок 1 + по ширине"/>
    <w:basedOn w:val="Heading1"/>
    <w:qFormat/>
    <w:rsid w:val="005773b2"/>
    <w:pPr>
      <w:keepLines/>
      <w:numPr>
        <w:ilvl w:val="0"/>
        <w:numId w:val="0"/>
      </w:numPr>
      <w:tabs>
        <w:tab w:val="clear" w:pos="708"/>
        <w:tab w:val="left" w:pos="567" w:leader="none"/>
      </w:tabs>
      <w:suppressAutoHyphens w:val="true"/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uppressAutoHyphens w:val="true"/>
      <w:spacing w:before="120" w:after="120"/>
      <w:jc w:val="both"/>
      <w:outlineLvl w:val="0"/>
    </w:pPr>
    <w:rPr>
      <w:b/>
      <w:kern w:val="2"/>
      <w:sz w:val="24"/>
      <w:szCs w:val="20"/>
    </w:rPr>
  </w:style>
  <w:style w:type="paragraph" w:styleId="Style32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8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Style3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9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5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2E4F2-1EE5-48C5-8AF4-4828AFB87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Application>AlterOffice/3.4.0.9$Linux_X86_64 LibreOffice_project/b8daf9e823b1a5463a2f48435ddc2e8696e7d4fc</Application>
  <AppVersion>15.0000</AppVersion>
  <Pages>2</Pages>
  <Words>430</Words>
  <Characters>3050</Characters>
  <CharactersWithSpaces>3443</CharactersWithSpaces>
  <Paragraphs>36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2022-10-12T19:11:00Z</dcterms:created>
  <dc:creator>Быстров Олег Геннадьевич</dc:creator>
  <dc:description/>
  <dc:language>ru-RU</dc:language>
  <cp:lastModifiedBy>fominpp</cp:lastModifiedBy>
  <cp:lastPrinted>2024-09-13T01:20:00Z</cp:lastPrinted>
  <dcterms:modified xsi:type="dcterms:W3CDTF">2026-05-07T10:13:34Z</dcterms:modified>
  <cp:revision>66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